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 w:eastAsiaTheme="minorEastAsia"/>
          <w:color w:val="0000FF"/>
          <w:sz w:val="32"/>
          <w:szCs w:val="32"/>
          <w:lang w:eastAsia="zh-CN"/>
        </w:rPr>
      </w:pPr>
    </w:p>
    <w:p>
      <w:pPr>
        <w:rPr>
          <w:rFonts w:ascii="Times New Roman" w:hAnsi="Times New Roman" w:cs="Times New Roman"/>
          <w:color w:val="0000FF"/>
        </w:rPr>
      </w:pPr>
    </w:p>
    <w:p>
      <w:pPr>
        <w:rPr>
          <w:rFonts w:ascii="Times New Roman" w:hAnsi="Times New Roman" w:cs="Times New Roman"/>
          <w:color w:val="0000FF"/>
        </w:rPr>
      </w:pPr>
    </w:p>
    <w:p>
      <w:pPr>
        <w:ind w:right="420"/>
        <w:rPr>
          <w:rFonts w:ascii="Times New Roman" w:hAnsi="Times New Roman" w:cs="Times New Roman"/>
          <w:color w:val="0000FF"/>
        </w:rPr>
      </w:pPr>
    </w:p>
    <w:p>
      <w:pPr>
        <w:jc w:val="right"/>
        <w:rPr>
          <w:rFonts w:ascii="Times New Roman" w:hAnsi="Times New Roman" w:cs="Times New Roman"/>
          <w:color w:val="0000FF"/>
        </w:rPr>
      </w:pPr>
    </w:p>
    <w:p>
      <w:pPr>
        <w:ind w:left="1898" w:leftChars="0" w:hanging="1898" w:hangingChars="904"/>
        <w:rPr>
          <w:rFonts w:ascii="Times New Roman" w:hAnsi="Times New Roman" w:cs="Times New Roman"/>
          <w:color w:val="0000FF"/>
        </w:rPr>
      </w:pPr>
    </w:p>
    <w:p>
      <w:pPr>
        <w:jc w:val="center"/>
        <w:rPr>
          <w:rFonts w:ascii="Times New Roman" w:hAnsi="Times New Roman" w:eastAsia="黑体" w:cs="Times New Roman"/>
          <w:color w:val="0000FF"/>
          <w:sz w:val="44"/>
          <w:szCs w:val="44"/>
        </w:rPr>
      </w:pPr>
    </w:p>
    <w:p>
      <w:pPr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生产建设项目水土保持设施</w:t>
      </w:r>
    </w:p>
    <w:p>
      <w:pPr>
        <w:jc w:val="center"/>
        <w:rPr>
          <w:rFonts w:ascii="Times New Roman" w:hAnsi="Times New Roman" w:eastAsia="楷体_GB2312" w:cs="Times New Roman"/>
          <w:color w:val="auto"/>
          <w:sz w:val="84"/>
          <w:szCs w:val="84"/>
        </w:rPr>
      </w:pPr>
      <w:r>
        <w:rPr>
          <w:rFonts w:ascii="Times New Roman" w:hAnsi="Times New Roman" w:eastAsia="楷体_GB2312" w:cs="Times New Roman"/>
          <w:color w:val="auto"/>
          <w:sz w:val="84"/>
          <w:szCs w:val="84"/>
        </w:rPr>
        <w:t>验收鉴定书</w:t>
      </w:r>
    </w:p>
    <w:p>
      <w:pPr>
        <w:spacing w:before="156" w:beforeLines="50" w:after="156" w:afterLines="5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898" w:firstLineChars="678"/>
        <w:jc w:val="both"/>
        <w:textAlignment w:val="auto"/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  <w:lang w:val="en-US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</w:rPr>
        <w:t>项目名称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年产16万吨饲料项目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898" w:firstLineChars="678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u w:val="single"/>
          <w:lang w:val="en-US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项目代码：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2019-450981-13-019801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u w:val="single"/>
          <w:lang w:val="en-US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28"/>
          <w:szCs w:val="28"/>
        </w:rPr>
        <w:t>建设地点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北流市日用陶瓷工业园内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28"/>
          <w:szCs w:val="28"/>
        </w:rPr>
        <w:t>验收单位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北流市响亮饲料有限公司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pStyle w:val="13"/>
        <w:ind w:left="0" w:leftChars="0" w:firstLine="0" w:firstLineChars="0"/>
        <w:rPr>
          <w:color w:val="auto"/>
        </w:rPr>
      </w:pPr>
    </w:p>
    <w:p>
      <w:pPr>
        <w:pStyle w:val="13"/>
        <w:ind w:left="0" w:leftChars="0" w:firstLine="0" w:firstLineChars="0"/>
        <w:rPr>
          <w:color w:val="auto"/>
        </w:rPr>
      </w:pPr>
    </w:p>
    <w:p>
      <w:pPr>
        <w:spacing w:before="156" w:beforeLines="50" w:after="156" w:afterLines="50"/>
        <w:jc w:val="center"/>
        <w:rPr>
          <w:rFonts w:ascii="Times New Roman" w:hAnsi="Times New Roman" w:eastAsia="楷体_GB2312" w:cs="Times New Roman"/>
          <w:color w:val="0000FF"/>
          <w:sz w:val="28"/>
          <w:szCs w:val="28"/>
          <w:highlight w:val="yellow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u w:val="none"/>
          <w:lang w:val="en-US" w:eastAsia="zh-CN"/>
        </w:rPr>
        <w:t>2023</w:t>
      </w:r>
      <w:r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u w:val="none"/>
          <w:lang w:val="en-US" w:eastAsia="zh-CN"/>
        </w:rPr>
        <w:t>8</w:t>
      </w:r>
      <w:r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u w:val="none"/>
          <w:lang w:val="en-US" w:eastAsia="zh-CN"/>
        </w:rPr>
        <w:t>8</w:t>
      </w:r>
      <w:r>
        <w:rPr>
          <w:rFonts w:ascii="Times New Roman" w:hAnsi="Times New Roman" w:eastAsia="楷体_GB2312" w:cs="Times New Roman"/>
          <w:color w:val="auto"/>
          <w:sz w:val="28"/>
          <w:szCs w:val="28"/>
          <w:highlight w:val="none"/>
          <w:u w:val="none"/>
        </w:rPr>
        <w:t>日</w:t>
      </w:r>
    </w:p>
    <w:p>
      <w:pPr>
        <w:spacing w:before="240" w:beforeLines="100" w:after="480" w:afterLines="200" w:line="600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一、生产建设项目水土保持设施验收基本情况表</w:t>
      </w:r>
    </w:p>
    <w:tbl>
      <w:tblPr>
        <w:tblStyle w:val="10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30"/>
        <w:gridCol w:w="1320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年产16万吨饲料项目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行业类别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其它类型项目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（或主要投资方）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北流市响亮饲料有限公司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项目性质</w:t>
            </w:r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水土保持方案批复机关、文号及时间</w:t>
            </w:r>
          </w:p>
        </w:tc>
        <w:tc>
          <w:tcPr>
            <w:tcW w:w="5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北流市水利局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2021年10月21日，北水政审[2021]42号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水土保持方案变更批复机关、文号及时间</w:t>
            </w:r>
          </w:p>
        </w:tc>
        <w:tc>
          <w:tcPr>
            <w:tcW w:w="5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水土保持初步设计批复机关、文号及时间</w:t>
            </w:r>
          </w:p>
        </w:tc>
        <w:tc>
          <w:tcPr>
            <w:tcW w:w="5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项目建设起止时间</w:t>
            </w:r>
          </w:p>
        </w:tc>
        <w:tc>
          <w:tcPr>
            <w:tcW w:w="5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2020年8月至2022年11月，共2年3个月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水土保持方案编制单位</w:t>
            </w:r>
          </w:p>
        </w:tc>
        <w:tc>
          <w:tcPr>
            <w:tcW w:w="5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广西伟辉生态工程咨询有限公司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水土保持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初步设计单位</w:t>
            </w:r>
          </w:p>
        </w:tc>
        <w:tc>
          <w:tcPr>
            <w:tcW w:w="5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水土保持监测单位</w:t>
            </w:r>
          </w:p>
        </w:tc>
        <w:tc>
          <w:tcPr>
            <w:tcW w:w="5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水土保持施工单位</w:t>
            </w:r>
          </w:p>
        </w:tc>
        <w:tc>
          <w:tcPr>
            <w:tcW w:w="5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桂林建昌建设有限公司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水土保持监理单位</w:t>
            </w:r>
          </w:p>
        </w:tc>
        <w:tc>
          <w:tcPr>
            <w:tcW w:w="5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广西刚正建筑工程监理有限公司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水土保持设施验收咨询单位</w:t>
            </w:r>
          </w:p>
        </w:tc>
        <w:tc>
          <w:tcPr>
            <w:tcW w:w="57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广西同富工程技术咨询有限公司</w:t>
            </w:r>
          </w:p>
        </w:tc>
      </w:tr>
    </w:tbl>
    <w:p>
      <w:pPr>
        <w:spacing w:after="240" w:afterLines="100"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二、验收意见</w:t>
      </w:r>
    </w:p>
    <w:tbl>
      <w:tblPr>
        <w:tblStyle w:val="10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838" w:type="dxa"/>
          </w:tcPr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根据自治区水利厅关于印发《广西壮族自治区生产建设项目水土保持方案编报审批管理办法等3个管理办法的通知》（桂水规范 [2020]4号）的规定，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北流市响亮饲料有限公司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北流市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主持召开了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年产16万吨饲料项目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水土保持设施验收会议。参加会议的有建设单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位北流市响亮饲料有限公司，施工单位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桂林建昌建设有限公司，监理单位广西刚正建筑工程监理有限公司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，水土保持方案编制单位广西伟辉生态工程咨询有限公司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水土保持设施验收咨询单位广西同富工程技术咨询有限公司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等单位的代表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及专家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人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，会议成立了验收组（名单附后）。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验收组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查阅了技术资料，听取了建设单位、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水土保持设施验收咨询单位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关于水土保持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措施实施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情况和验收情况的汇报以及水土保持方案编制单位、施工单位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和监理单位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的补充说明。经质询、讨论，形成了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年产16万吨饲料项目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水土保持设施验收意见。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（一）项目概况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年产16万吨饲料项目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位于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北流市日用陶瓷工业园内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，项目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为新建建设类项目。项目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新建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1间生产车间、1栋5层综合楼，配套建设物业管理用房、治安联防、垃圾收集站、消防、室内外给排水、室内外电气、景观绿化工程以及其他附属设施建筑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。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总占地面积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，均为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主体工程区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占地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，为永久占地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临时堆土场区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布置在主体工程区用地范围内，占地0.16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项目建设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开挖土石方量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2.31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万m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，回填土石方量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2.31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万m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（含绿化覆土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0.21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无外借方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，无永久弃方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2020年8月至2022年11月，共2年3个月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（二）水土保持方案批复情况（含变更）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2021年10月2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北流市水利局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年产16万吨饲料项目水土保持方案行政许可决定书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北水政审[2021]42号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对本项目水土保持方案进行了批复。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本项目水土保持设施与主体工程同时设计、同时施工、同时投入使用，项目设计及施工过程中无重大变更情况。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（三）水土保持初步设计或施工图设计情况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本项目无水土保持初步设计和施工图设计。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（四）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水土保持监测情况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《水利部关于进一步深化“放管服”改革全面加强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水土保持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监管的意见》（水保〔2019〕160号）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规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定，本项目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不需要开展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水土保持监测。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（五）验收报告编制情况和主要结论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月，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北流市响亮饲料有限公司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委托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广西同富工程技术咨询有限公司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年产16万吨饲料项目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水土保持设施验收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咨询工作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验收主要结论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：建设单位基本按照水土保持方案实施了水土保持防治措施，水土保持措施质量总体合格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，项目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建设产生的人为水土流失得到了有效控制，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各项水土流失防治目标均达到防治目标值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其中水土流失治理度为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%，土壤流失控制比大于1.0，渣土防护率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99.13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表土保护率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95.24%，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林草植被恢复率为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％，林草覆盖率为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17.66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％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水土流失防治指标达到了水土保持方案确定的目标值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，项目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水土保持设施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已具备验收条件，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同意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组织验收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（六）验收结论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在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实施过程中落实了水土保持方案及批复文件要求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的各项水土保持措施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，缴纳了水土保持补偿费，完成了水土流失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防治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任务，水土流失防治指标达到水土保持方案确定的目标值，符合水土保持设施验收的条件，同意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项目水土保持设施通过验收。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（七）后续管护要求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建设单位进一步加强水土保持设施管护，保证其正常运行和发挥效益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，对局布裸露地表进行补植补种。</w:t>
            </w:r>
          </w:p>
        </w:tc>
      </w:tr>
    </w:tbl>
    <w:p>
      <w:pPr>
        <w:outlineLvl w:val="0"/>
        <w:rPr>
          <w:rFonts w:hint="eastAsia" w:ascii="Times New Roman" w:hAnsi="Times New Roman" w:eastAsia="仿宋_GB2312" w:cs="Times New Roman"/>
          <w:color w:val="0000FF"/>
          <w:sz w:val="30"/>
          <w:szCs w:val="30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0"/>
          <w:szCs w:val="30"/>
        </w:rPr>
        <w:t>三、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年产16万吨饲料项目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水土保持设施</w:t>
      </w:r>
      <w:r>
        <w:rPr>
          <w:rFonts w:ascii="Times New Roman" w:hAnsi="Times New Roman" w:eastAsia="仿宋_GB2312" w:cs="Times New Roman"/>
          <w:b/>
          <w:bCs/>
          <w:color w:val="auto"/>
          <w:sz w:val="30"/>
          <w:szCs w:val="30"/>
        </w:rPr>
        <w:t>验收组成员签字表</w:t>
      </w:r>
    </w:p>
    <w:tbl>
      <w:tblPr>
        <w:tblStyle w:val="10"/>
        <w:tblW w:w="4997" w:type="pct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472"/>
        <w:gridCol w:w="4602"/>
        <w:gridCol w:w="1841"/>
        <w:gridCol w:w="1620"/>
        <w:gridCol w:w="3170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分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20"/>
                <w:rFonts w:ascii="Times New Roman" w:hAnsi="Times New Roman" w:eastAsia="仿宋_GB2312"/>
                <w:color w:val="auto"/>
                <w:sz w:val="30"/>
                <w:szCs w:val="30"/>
                <w:lang w:val="en-US" w:eastAsia="zh-CN" w:bidi="ar"/>
              </w:rPr>
              <w:t>工</w:t>
            </w:r>
          </w:p>
        </w:tc>
        <w:tc>
          <w:tcPr>
            <w:tcW w:w="52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6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单 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20"/>
                <w:rFonts w:ascii="Times New Roman" w:hAnsi="Times New Roman" w:eastAsia="仿宋_GB2312"/>
                <w:color w:val="auto"/>
                <w:sz w:val="30"/>
                <w:szCs w:val="30"/>
                <w:lang w:val="en-US" w:eastAsia="zh-CN" w:bidi="ar"/>
              </w:rPr>
              <w:t xml:space="preserve"> 位</w:t>
            </w:r>
          </w:p>
        </w:tc>
        <w:tc>
          <w:tcPr>
            <w:tcW w:w="6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职务/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"/>
              </w:rPr>
              <w:t>职称</w:t>
            </w: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签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Style w:val="20"/>
                <w:rFonts w:ascii="Times New Roman" w:hAnsi="Times New Roman" w:eastAsia="仿宋_GB2312"/>
                <w:color w:val="auto"/>
                <w:sz w:val="30"/>
                <w:szCs w:val="30"/>
                <w:lang w:val="en-US" w:eastAsia="zh-CN" w:bidi="ar"/>
              </w:rPr>
              <w:t>字</w:t>
            </w:r>
          </w:p>
        </w:tc>
        <w:tc>
          <w:tcPr>
            <w:tcW w:w="11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组  长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梁璞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北流市响亮饲料有限公司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经理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56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成员</w:t>
            </w: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李原雄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广西同富工程技术咨询有限公司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bidi="ar"/>
              </w:rPr>
              <w:t>验收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eastAsia="zh-CN" w:bidi="ar"/>
              </w:rPr>
              <w:t>咨询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u w:val="none"/>
                <w:lang w:bidi="ar"/>
              </w:rPr>
              <w:t>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5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李日伟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广西伟辉生态工程咨询有限公司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u w:val="none"/>
                <w:lang w:bidi="ar"/>
              </w:rPr>
              <w:t>水土保持方案编制单位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5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z w:val="30"/>
                <w:szCs w:val="30"/>
                <w:u w:val="non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  <w:t>欧涛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桂林建昌建设有限公司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施工单位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56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z w:val="30"/>
                <w:szCs w:val="30"/>
                <w:u w:val="non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  <w:t>陈志逸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广西刚正建筑工程监理有限公司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总监理工程师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监理单位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56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z w:val="30"/>
                <w:szCs w:val="30"/>
                <w:u w:val="non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肖宗光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广西水利水电工程技术评审专家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  <w:t>高级工程师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专家</w:t>
            </w:r>
          </w:p>
        </w:tc>
      </w:tr>
    </w:tbl>
    <w:p>
      <w:pPr>
        <w:pStyle w:val="13"/>
        <w:rPr>
          <w:rFonts w:hint="eastAsia" w:ascii="Times New Roman" w:hAnsi="Times New Roman" w:eastAsia="仿宋_GB2312"/>
          <w:color w:val="0000FF"/>
          <w:lang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default"/>
          <w:lang w:val="en-US"/>
        </w:rPr>
        <w:id w:val="-1465645869"/>
      </w:sdtPr>
      <w:sdtEndPr>
        <w:rPr>
          <w:rFonts w:hint="default"/>
          <w:lang w:val="en-US"/>
        </w:rPr>
      </w:sdtEndPr>
      <w:sdtContent/>
    </w:sdt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Y2IyYmQwMTZkMmQ5ZjEwNzg3M2M2NzY5NmNkYTEifQ=="/>
  </w:docVars>
  <w:rsids>
    <w:rsidRoot w:val="00172A27"/>
    <w:rsid w:val="00002F3E"/>
    <w:rsid w:val="00082658"/>
    <w:rsid w:val="000C0EF2"/>
    <w:rsid w:val="000D5333"/>
    <w:rsid w:val="001128B0"/>
    <w:rsid w:val="00123B43"/>
    <w:rsid w:val="0014450C"/>
    <w:rsid w:val="00147D1F"/>
    <w:rsid w:val="0015092B"/>
    <w:rsid w:val="00156391"/>
    <w:rsid w:val="00163519"/>
    <w:rsid w:val="001A17F8"/>
    <w:rsid w:val="001A2D66"/>
    <w:rsid w:val="001B52B1"/>
    <w:rsid w:val="00214665"/>
    <w:rsid w:val="002904B6"/>
    <w:rsid w:val="002F4E04"/>
    <w:rsid w:val="003062B4"/>
    <w:rsid w:val="003269C3"/>
    <w:rsid w:val="004503A8"/>
    <w:rsid w:val="004E6602"/>
    <w:rsid w:val="00526350"/>
    <w:rsid w:val="00590CF7"/>
    <w:rsid w:val="005B1FE3"/>
    <w:rsid w:val="0060686A"/>
    <w:rsid w:val="006136AF"/>
    <w:rsid w:val="006141A1"/>
    <w:rsid w:val="00640D60"/>
    <w:rsid w:val="00645348"/>
    <w:rsid w:val="006A1541"/>
    <w:rsid w:val="006B60C4"/>
    <w:rsid w:val="006F63D4"/>
    <w:rsid w:val="006F78CB"/>
    <w:rsid w:val="00712BD3"/>
    <w:rsid w:val="00721B32"/>
    <w:rsid w:val="00784C91"/>
    <w:rsid w:val="007867BF"/>
    <w:rsid w:val="00817207"/>
    <w:rsid w:val="00882EF7"/>
    <w:rsid w:val="008904A3"/>
    <w:rsid w:val="008B5B80"/>
    <w:rsid w:val="0093058E"/>
    <w:rsid w:val="00942D44"/>
    <w:rsid w:val="00960422"/>
    <w:rsid w:val="00977DA1"/>
    <w:rsid w:val="00986992"/>
    <w:rsid w:val="009D124B"/>
    <w:rsid w:val="00A01381"/>
    <w:rsid w:val="00AF1409"/>
    <w:rsid w:val="00B05A8C"/>
    <w:rsid w:val="00B07F3D"/>
    <w:rsid w:val="00B606FF"/>
    <w:rsid w:val="00B731B2"/>
    <w:rsid w:val="00BD5FEB"/>
    <w:rsid w:val="00BD737E"/>
    <w:rsid w:val="00BF09F1"/>
    <w:rsid w:val="00BF6E1D"/>
    <w:rsid w:val="00C858BC"/>
    <w:rsid w:val="00CD3DEE"/>
    <w:rsid w:val="00CF1C8B"/>
    <w:rsid w:val="00D21AC2"/>
    <w:rsid w:val="00D83F20"/>
    <w:rsid w:val="00DB5B10"/>
    <w:rsid w:val="00DC34FB"/>
    <w:rsid w:val="00DD5EF8"/>
    <w:rsid w:val="00DD7A57"/>
    <w:rsid w:val="00DE7761"/>
    <w:rsid w:val="00E65AB8"/>
    <w:rsid w:val="00EA46E2"/>
    <w:rsid w:val="00ED4A76"/>
    <w:rsid w:val="00EE3078"/>
    <w:rsid w:val="00F46EFB"/>
    <w:rsid w:val="00F6509E"/>
    <w:rsid w:val="00F702B8"/>
    <w:rsid w:val="00F845EC"/>
    <w:rsid w:val="00FC5A87"/>
    <w:rsid w:val="00FD30B7"/>
    <w:rsid w:val="0121501C"/>
    <w:rsid w:val="017A4FEE"/>
    <w:rsid w:val="019C6031"/>
    <w:rsid w:val="023B14E4"/>
    <w:rsid w:val="02AD1913"/>
    <w:rsid w:val="02C806F3"/>
    <w:rsid w:val="02E9652D"/>
    <w:rsid w:val="03A3455E"/>
    <w:rsid w:val="041244E8"/>
    <w:rsid w:val="0431074E"/>
    <w:rsid w:val="04770914"/>
    <w:rsid w:val="048929AB"/>
    <w:rsid w:val="04EA1770"/>
    <w:rsid w:val="05811598"/>
    <w:rsid w:val="062F1A80"/>
    <w:rsid w:val="07B9676F"/>
    <w:rsid w:val="07C94310"/>
    <w:rsid w:val="07FF5C76"/>
    <w:rsid w:val="081A6D28"/>
    <w:rsid w:val="08905CD1"/>
    <w:rsid w:val="08950BEF"/>
    <w:rsid w:val="0939360F"/>
    <w:rsid w:val="09EC1A68"/>
    <w:rsid w:val="0A580F56"/>
    <w:rsid w:val="0A6B6AF9"/>
    <w:rsid w:val="0BF84353"/>
    <w:rsid w:val="0C021626"/>
    <w:rsid w:val="0C171572"/>
    <w:rsid w:val="0C623428"/>
    <w:rsid w:val="0CD957C6"/>
    <w:rsid w:val="0DFA17D1"/>
    <w:rsid w:val="0E2C5202"/>
    <w:rsid w:val="0E2E6F4B"/>
    <w:rsid w:val="0E8A793D"/>
    <w:rsid w:val="0FDF6EC2"/>
    <w:rsid w:val="10143155"/>
    <w:rsid w:val="10163FF6"/>
    <w:rsid w:val="107E2B6A"/>
    <w:rsid w:val="108D17E0"/>
    <w:rsid w:val="10C85811"/>
    <w:rsid w:val="1115365D"/>
    <w:rsid w:val="1143366B"/>
    <w:rsid w:val="116114EB"/>
    <w:rsid w:val="12031A5B"/>
    <w:rsid w:val="123E69CD"/>
    <w:rsid w:val="1291484C"/>
    <w:rsid w:val="12BB0935"/>
    <w:rsid w:val="13744FAC"/>
    <w:rsid w:val="13AF7B53"/>
    <w:rsid w:val="142964B3"/>
    <w:rsid w:val="154F0574"/>
    <w:rsid w:val="15C566FA"/>
    <w:rsid w:val="161C04CF"/>
    <w:rsid w:val="163A4851"/>
    <w:rsid w:val="181D3D8A"/>
    <w:rsid w:val="18516C15"/>
    <w:rsid w:val="18AC4D6F"/>
    <w:rsid w:val="18C33117"/>
    <w:rsid w:val="18C62E4B"/>
    <w:rsid w:val="18CD7EA3"/>
    <w:rsid w:val="18FC0506"/>
    <w:rsid w:val="19434900"/>
    <w:rsid w:val="19A2154B"/>
    <w:rsid w:val="19C902E5"/>
    <w:rsid w:val="1A413C49"/>
    <w:rsid w:val="1AC425A8"/>
    <w:rsid w:val="1BED1C4B"/>
    <w:rsid w:val="1CB14DA6"/>
    <w:rsid w:val="1D4831F1"/>
    <w:rsid w:val="1E322AAB"/>
    <w:rsid w:val="1E392383"/>
    <w:rsid w:val="1EA04AE1"/>
    <w:rsid w:val="1F9E45C4"/>
    <w:rsid w:val="200B21A2"/>
    <w:rsid w:val="200E1150"/>
    <w:rsid w:val="20BD4AF7"/>
    <w:rsid w:val="20E42A46"/>
    <w:rsid w:val="20E903BF"/>
    <w:rsid w:val="20EE72CE"/>
    <w:rsid w:val="214D23D6"/>
    <w:rsid w:val="216E11F6"/>
    <w:rsid w:val="220D6C0F"/>
    <w:rsid w:val="22381E4A"/>
    <w:rsid w:val="226D3ABA"/>
    <w:rsid w:val="2270730B"/>
    <w:rsid w:val="22BE4B89"/>
    <w:rsid w:val="22C7589F"/>
    <w:rsid w:val="230353C9"/>
    <w:rsid w:val="23EB1DA2"/>
    <w:rsid w:val="23FB2797"/>
    <w:rsid w:val="248410C6"/>
    <w:rsid w:val="249C7FA1"/>
    <w:rsid w:val="24E3660D"/>
    <w:rsid w:val="25A03DAE"/>
    <w:rsid w:val="268C6404"/>
    <w:rsid w:val="26AC474B"/>
    <w:rsid w:val="26AE2B55"/>
    <w:rsid w:val="26CE0315"/>
    <w:rsid w:val="26ED32B7"/>
    <w:rsid w:val="27384DA1"/>
    <w:rsid w:val="273A3FFC"/>
    <w:rsid w:val="27B90C8C"/>
    <w:rsid w:val="28243BAD"/>
    <w:rsid w:val="28687287"/>
    <w:rsid w:val="28BD2B2C"/>
    <w:rsid w:val="294C1693"/>
    <w:rsid w:val="29613526"/>
    <w:rsid w:val="29AA46D4"/>
    <w:rsid w:val="29AE077F"/>
    <w:rsid w:val="29AE1C2D"/>
    <w:rsid w:val="29C9048F"/>
    <w:rsid w:val="2A2A781D"/>
    <w:rsid w:val="2AAA0AAB"/>
    <w:rsid w:val="2AF84D4B"/>
    <w:rsid w:val="2B806994"/>
    <w:rsid w:val="2B9058ED"/>
    <w:rsid w:val="2C174747"/>
    <w:rsid w:val="2C495EB0"/>
    <w:rsid w:val="2C701E9B"/>
    <w:rsid w:val="2CAD02C1"/>
    <w:rsid w:val="2CB56B76"/>
    <w:rsid w:val="2E8A6507"/>
    <w:rsid w:val="2E90368E"/>
    <w:rsid w:val="2EC1207D"/>
    <w:rsid w:val="2EC93A31"/>
    <w:rsid w:val="2F357B97"/>
    <w:rsid w:val="2FBE3A35"/>
    <w:rsid w:val="2FE6382D"/>
    <w:rsid w:val="30C51408"/>
    <w:rsid w:val="31944953"/>
    <w:rsid w:val="31C30633"/>
    <w:rsid w:val="31D40E23"/>
    <w:rsid w:val="32440B1A"/>
    <w:rsid w:val="329E11A3"/>
    <w:rsid w:val="331C1294"/>
    <w:rsid w:val="33315BFE"/>
    <w:rsid w:val="33576819"/>
    <w:rsid w:val="339424B6"/>
    <w:rsid w:val="33F2536D"/>
    <w:rsid w:val="3402249C"/>
    <w:rsid w:val="34093F0C"/>
    <w:rsid w:val="34A21648"/>
    <w:rsid w:val="36126734"/>
    <w:rsid w:val="36244CC4"/>
    <w:rsid w:val="36F61145"/>
    <w:rsid w:val="37F203B9"/>
    <w:rsid w:val="388E6CF7"/>
    <w:rsid w:val="38C83DEA"/>
    <w:rsid w:val="398E71C8"/>
    <w:rsid w:val="3A904986"/>
    <w:rsid w:val="3AED097A"/>
    <w:rsid w:val="3B0F4958"/>
    <w:rsid w:val="3B355D29"/>
    <w:rsid w:val="3B7000DB"/>
    <w:rsid w:val="3C7B2147"/>
    <w:rsid w:val="3CBC4011"/>
    <w:rsid w:val="3D3B3FE9"/>
    <w:rsid w:val="3DBA0E43"/>
    <w:rsid w:val="3DFC1B50"/>
    <w:rsid w:val="3E423152"/>
    <w:rsid w:val="3ED345EC"/>
    <w:rsid w:val="3FC544D7"/>
    <w:rsid w:val="3FEB6F5A"/>
    <w:rsid w:val="3FFE4E62"/>
    <w:rsid w:val="40C26622"/>
    <w:rsid w:val="415449B3"/>
    <w:rsid w:val="41993BB7"/>
    <w:rsid w:val="42573480"/>
    <w:rsid w:val="42F73926"/>
    <w:rsid w:val="43356563"/>
    <w:rsid w:val="439D240C"/>
    <w:rsid w:val="43C06DFB"/>
    <w:rsid w:val="45124F70"/>
    <w:rsid w:val="452C032A"/>
    <w:rsid w:val="456B2F64"/>
    <w:rsid w:val="458657E5"/>
    <w:rsid w:val="46AE2A8F"/>
    <w:rsid w:val="46D455D9"/>
    <w:rsid w:val="47645658"/>
    <w:rsid w:val="480D58C2"/>
    <w:rsid w:val="4889548C"/>
    <w:rsid w:val="48DE762F"/>
    <w:rsid w:val="49CD4887"/>
    <w:rsid w:val="49DF2EE3"/>
    <w:rsid w:val="49FC1E5F"/>
    <w:rsid w:val="4A271D2B"/>
    <w:rsid w:val="4BBD4AC7"/>
    <w:rsid w:val="4C64349E"/>
    <w:rsid w:val="4CA61225"/>
    <w:rsid w:val="4CD33F35"/>
    <w:rsid w:val="4DA739DA"/>
    <w:rsid w:val="4DD64A2C"/>
    <w:rsid w:val="4E2A2B0E"/>
    <w:rsid w:val="4E703378"/>
    <w:rsid w:val="4E80682A"/>
    <w:rsid w:val="4E815609"/>
    <w:rsid w:val="4F6B3AE0"/>
    <w:rsid w:val="4F771CD0"/>
    <w:rsid w:val="4F9A7353"/>
    <w:rsid w:val="50216F58"/>
    <w:rsid w:val="502B49B8"/>
    <w:rsid w:val="50990CE4"/>
    <w:rsid w:val="528A4B76"/>
    <w:rsid w:val="52A51287"/>
    <w:rsid w:val="52E837CD"/>
    <w:rsid w:val="52E9391F"/>
    <w:rsid w:val="52EA685B"/>
    <w:rsid w:val="53251009"/>
    <w:rsid w:val="53AD285D"/>
    <w:rsid w:val="53C40065"/>
    <w:rsid w:val="53D06CD9"/>
    <w:rsid w:val="54270E0F"/>
    <w:rsid w:val="547152AB"/>
    <w:rsid w:val="55C548D6"/>
    <w:rsid w:val="562772F3"/>
    <w:rsid w:val="57325526"/>
    <w:rsid w:val="575B41E1"/>
    <w:rsid w:val="57695398"/>
    <w:rsid w:val="5770337A"/>
    <w:rsid w:val="57B40121"/>
    <w:rsid w:val="57D66696"/>
    <w:rsid w:val="586C1EC4"/>
    <w:rsid w:val="588B31A5"/>
    <w:rsid w:val="58E33175"/>
    <w:rsid w:val="59113C8E"/>
    <w:rsid w:val="594E3BF6"/>
    <w:rsid w:val="5968095B"/>
    <w:rsid w:val="597A4916"/>
    <w:rsid w:val="5A083AB4"/>
    <w:rsid w:val="5BE13F3E"/>
    <w:rsid w:val="5C826A14"/>
    <w:rsid w:val="5CFA440A"/>
    <w:rsid w:val="5D3B00B2"/>
    <w:rsid w:val="5D7204E4"/>
    <w:rsid w:val="5E6B55B4"/>
    <w:rsid w:val="5E910A45"/>
    <w:rsid w:val="5EA01AF8"/>
    <w:rsid w:val="5EB908EE"/>
    <w:rsid w:val="5F17417C"/>
    <w:rsid w:val="5F2A5551"/>
    <w:rsid w:val="5F7B0F72"/>
    <w:rsid w:val="5F82652A"/>
    <w:rsid w:val="5FBB02A4"/>
    <w:rsid w:val="60372A3B"/>
    <w:rsid w:val="606E17C6"/>
    <w:rsid w:val="607159FC"/>
    <w:rsid w:val="60927BA1"/>
    <w:rsid w:val="61635223"/>
    <w:rsid w:val="6195042A"/>
    <w:rsid w:val="628136F6"/>
    <w:rsid w:val="62E37AD9"/>
    <w:rsid w:val="63283F8D"/>
    <w:rsid w:val="63B71C63"/>
    <w:rsid w:val="6482080A"/>
    <w:rsid w:val="648864CE"/>
    <w:rsid w:val="64D577C5"/>
    <w:rsid w:val="65014BAA"/>
    <w:rsid w:val="659553A3"/>
    <w:rsid w:val="65A84771"/>
    <w:rsid w:val="663D530E"/>
    <w:rsid w:val="665E3419"/>
    <w:rsid w:val="668D4017"/>
    <w:rsid w:val="66A55F97"/>
    <w:rsid w:val="66EC6602"/>
    <w:rsid w:val="679D0EC6"/>
    <w:rsid w:val="67C41008"/>
    <w:rsid w:val="688138C4"/>
    <w:rsid w:val="688D69A8"/>
    <w:rsid w:val="6966265B"/>
    <w:rsid w:val="69D8067B"/>
    <w:rsid w:val="6A9554BC"/>
    <w:rsid w:val="6AA27CFA"/>
    <w:rsid w:val="6AC87D14"/>
    <w:rsid w:val="6B286EE9"/>
    <w:rsid w:val="6B82447C"/>
    <w:rsid w:val="6BE40938"/>
    <w:rsid w:val="6C5C5C0D"/>
    <w:rsid w:val="6CE65416"/>
    <w:rsid w:val="6FFB2635"/>
    <w:rsid w:val="70AC3D55"/>
    <w:rsid w:val="70B8404D"/>
    <w:rsid w:val="72F36D25"/>
    <w:rsid w:val="732E00DE"/>
    <w:rsid w:val="73585667"/>
    <w:rsid w:val="74605823"/>
    <w:rsid w:val="7481619E"/>
    <w:rsid w:val="74F41B73"/>
    <w:rsid w:val="74FF5FF6"/>
    <w:rsid w:val="75840BAC"/>
    <w:rsid w:val="7587012F"/>
    <w:rsid w:val="75C43977"/>
    <w:rsid w:val="76194A22"/>
    <w:rsid w:val="76A900F9"/>
    <w:rsid w:val="76B25C6F"/>
    <w:rsid w:val="76D8051F"/>
    <w:rsid w:val="76E64153"/>
    <w:rsid w:val="76E84C70"/>
    <w:rsid w:val="77187BC2"/>
    <w:rsid w:val="78327F04"/>
    <w:rsid w:val="78654FD9"/>
    <w:rsid w:val="78B13B4E"/>
    <w:rsid w:val="7A3842DB"/>
    <w:rsid w:val="7A4608F6"/>
    <w:rsid w:val="7A9E78BF"/>
    <w:rsid w:val="7AC8087B"/>
    <w:rsid w:val="7AE257BF"/>
    <w:rsid w:val="7B1E1AF8"/>
    <w:rsid w:val="7B4E52A5"/>
    <w:rsid w:val="7B823E33"/>
    <w:rsid w:val="7B9E6AA4"/>
    <w:rsid w:val="7BD70062"/>
    <w:rsid w:val="7BF96F89"/>
    <w:rsid w:val="7C5F1CF3"/>
    <w:rsid w:val="7CE94EE5"/>
    <w:rsid w:val="7D52025F"/>
    <w:rsid w:val="7D7C7A36"/>
    <w:rsid w:val="7DF7050F"/>
    <w:rsid w:val="7DF81952"/>
    <w:rsid w:val="7E1E01B0"/>
    <w:rsid w:val="7E8375EC"/>
    <w:rsid w:val="7E891110"/>
    <w:rsid w:val="7F20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napToGrid w:val="0"/>
      <w:spacing w:line="360" w:lineRule="auto"/>
      <w:ind w:firstLine="640" w:firstLineChars="200"/>
      <w:jc w:val="left"/>
      <w:outlineLvl w:val="0"/>
    </w:pPr>
    <w:rPr>
      <w:rFonts w:ascii="黑体" w:hAnsi="黑体" w:eastAsia="黑体" w:cs="Times New Roman"/>
      <w:bCs/>
      <w:kern w:val="44"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eastAsia="宋体"/>
      <w:kern w:val="2"/>
      <w:sz w:val="28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spacing w:line="580" w:lineRule="exact"/>
    </w:pPr>
    <w:rPr>
      <w:sz w:val="28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link w:val="15"/>
    <w:qFormat/>
    <w:uiPriority w:val="0"/>
    <w:pPr>
      <w:widowControl/>
      <w:ind w:firstLine="675"/>
    </w:pPr>
    <w:rPr>
      <w:rFonts w:eastAsia="宋体"/>
      <w:sz w:val="28"/>
      <w:szCs w:val="28"/>
    </w:r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样式 正文缩进正文（首行缩进两字）首行缩进两字 + 首行缩进:  2 字符1"/>
    <w:basedOn w:val="4"/>
    <w:qFormat/>
    <w:uiPriority w:val="0"/>
    <w:pPr>
      <w:spacing w:beforeLines="50" w:afterLines="50" w:line="500" w:lineRule="exact"/>
      <w:ind w:firstLine="200" w:firstLineChars="0"/>
    </w:pPr>
    <w:rPr>
      <w:color w:val="000000"/>
    </w:rPr>
  </w:style>
  <w:style w:type="character" w:customStyle="1" w:styleId="14">
    <w:name w:val="标题 1 Char"/>
    <w:basedOn w:val="11"/>
    <w:link w:val="3"/>
    <w:qFormat/>
    <w:uiPriority w:val="0"/>
    <w:rPr>
      <w:rFonts w:ascii="黑体" w:hAnsi="黑体" w:eastAsia="黑体" w:cs="Times New Roman"/>
      <w:bCs/>
      <w:kern w:val="44"/>
      <w:sz w:val="32"/>
      <w:szCs w:val="32"/>
    </w:rPr>
  </w:style>
  <w:style w:type="character" w:customStyle="1" w:styleId="15">
    <w:name w:val="正文文本缩进 Char"/>
    <w:basedOn w:val="11"/>
    <w:link w:val="6"/>
    <w:qFormat/>
    <w:uiPriority w:val="0"/>
    <w:rPr>
      <w:rFonts w:eastAsia="宋体"/>
      <w:sz w:val="28"/>
      <w:szCs w:val="28"/>
    </w:rPr>
  </w:style>
  <w:style w:type="character" w:customStyle="1" w:styleId="16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9">
    <w:name w:val="font11"/>
    <w:basedOn w:val="1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0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21">
    <w:name w:val=" Char Char Char Char"/>
    <w:basedOn w:val="1"/>
    <w:qFormat/>
    <w:uiPriority w:val="0"/>
    <w:pPr>
      <w:spacing w:before="120" w:beforeLines="0" w:after="120" w:afterLines="0" w:line="360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JDC</Company>
  <Pages>6</Pages>
  <Words>1812</Words>
  <Characters>1945</Characters>
  <Lines>7</Lines>
  <Paragraphs>2</Paragraphs>
  <TotalTime>5</TotalTime>
  <ScaleCrop>false</ScaleCrop>
  <LinksUpToDate>false</LinksUpToDate>
  <CharactersWithSpaces>1953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2017-11-15T08:59:00Z</dcterms:created>
  <dc:creator>LIUYu</dc:creator>
  <cp:lastModifiedBy>o綄羙緈諨1376234511</cp:lastModifiedBy>
  <cp:lastPrinted>2021-03-18T01:32:00Z</cp:lastPrinted>
  <dcterms:modified xsi:type="dcterms:W3CDTF">2023-08-18T08:49:21Z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A53F093C8B6D4646B352F5B7DD5D8D57</vt:lpwstr>
  </property>
  <property fmtid="{D5CDD505-2E9C-101B-9397-08002B2CF9AE}" pid="4" name="commondata">
    <vt:lpwstr>eyJoZGlkIjoiNmFiY2IyYmQwMTZkMmQ5ZjEwNzg3M2M2NzY5NmNkYTEifQ==</vt:lpwstr>
  </property>
</Properties>
</file>